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43950">
      <w:pPr>
        <w:jc w:val="center"/>
        <w:rPr>
          <w:rFonts w:ascii="Arial" w:hAnsi="Arial" w:cs="Arial"/>
          <w:b/>
          <w:bCs/>
          <w:sz w:val="32"/>
          <w:szCs w:val="32"/>
        </w:rPr>
      </w:pPr>
      <w:r>
        <w:rPr>
          <w:rFonts w:ascii="Arial" w:hAnsi="Arial" w:cs="Arial"/>
          <w:b/>
          <w:bCs/>
          <w:sz w:val="32"/>
          <w:szCs w:val="32"/>
        </w:rPr>
        <w:t>Copyright License Agreement</w:t>
      </w:r>
    </w:p>
    <w:p w14:paraId="53076DA1"/>
    <w:p w14:paraId="5F05A2D6">
      <w:pPr>
        <w:rPr>
          <w:rFonts w:ascii="Arial" w:hAnsi="Arial" w:cs="Arial"/>
          <w:b/>
          <w:bCs/>
        </w:rPr>
      </w:pPr>
      <w:r>
        <w:rPr>
          <w:rFonts w:ascii="Arial" w:hAnsi="Arial" w:cs="Arial"/>
          <w:b/>
          <w:bCs/>
        </w:rPr>
        <w:t xml:space="preserve">Paper Title: </w:t>
      </w:r>
      <w:r>
        <w:rPr>
          <w:rFonts w:ascii="Times New Roman" w:hAnsi="Times New Roman" w:cs="Times New Roman"/>
          <w:u w:val="single"/>
        </w:rPr>
        <w:t xml:space="preserve">                                                                   </w:t>
      </w:r>
    </w:p>
    <w:p w14:paraId="7644D46A">
      <w:r>
        <w:rPr>
          <w:rFonts w:ascii="Arial" w:hAnsi="Arial" w:cs="Arial"/>
          <w:b/>
          <w:bCs/>
        </w:rPr>
        <w:t>Authors (in order):</w:t>
      </w:r>
      <w:r>
        <w:t xml:space="preserve"> </w:t>
      </w:r>
      <w:r>
        <w:rPr>
          <w:rFonts w:ascii="Times New Roman" w:hAnsi="Times New Roman" w:cs="Times New Roman"/>
          <w:u w:val="single"/>
        </w:rPr>
        <w:t xml:space="preserve">   </w:t>
      </w:r>
      <w:r>
        <w:rPr>
          <w:u w:val="single"/>
        </w:rPr>
        <w:t xml:space="preserve">                                                         </w:t>
      </w:r>
    </w:p>
    <w:p w14:paraId="4995DD32">
      <w:r>
        <w:rPr>
          <w:rFonts w:ascii="Arial" w:hAnsi="Arial" w:cs="Arial"/>
          <w:b/>
          <w:bCs/>
        </w:rPr>
        <w:t>Submitted to:</w:t>
      </w:r>
      <w:r>
        <w:t xml:space="preserve"> </w:t>
      </w:r>
      <w:r>
        <w:rPr>
          <w:rFonts w:ascii="Times New Roman" w:hAnsi="Times New Roman" w:cs="Times New Roman"/>
          <w:u w:val="single"/>
        </w:rPr>
        <w:t>Progress in Biochemistry and Biophysics (ISSN 1000-3282)</w:t>
      </w:r>
    </w:p>
    <w:p w14:paraId="15539637"/>
    <w:p w14:paraId="42B687A9">
      <w:pPr>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rPr>
        <w:t>The copyright of the above-mentioned paper belongs to the authors. All the authors agree to grant a non-exclusive license to the Editorial Office of</w:t>
      </w:r>
      <w:r>
        <w:rPr>
          <w:rFonts w:ascii="Times New Roman" w:hAnsi="Times New Roman" w:cs="Times New Roman"/>
          <w:i/>
          <w:iCs/>
        </w:rPr>
        <w:t xml:space="preserve"> Progress in Biochemistry and Biophysics</w:t>
      </w:r>
      <w:r>
        <w:rPr>
          <w:rFonts w:ascii="Times New Roman" w:hAnsi="Times New Roman" w:cs="Times New Roman"/>
        </w:rPr>
        <w:t xml:space="preserve"> for the </w:t>
      </w:r>
      <w:r>
        <w:rPr>
          <w:rFonts w:hint="eastAsia" w:ascii="Times New Roman" w:hAnsi="Times New Roman" w:cs="Times New Roman"/>
          <w:lang w:val="en-US" w:eastAsia="zh-CN"/>
        </w:rPr>
        <w:t>copy</w:t>
      </w:r>
      <w:bookmarkStart w:id="0" w:name="_GoBack"/>
      <w:bookmarkEnd w:id="0"/>
      <w:r>
        <w:rPr>
          <w:rFonts w:ascii="Times New Roman" w:hAnsi="Times New Roman" w:cs="Times New Roman"/>
        </w:rPr>
        <w:t xml:space="preserve">rights of the paper as a whole and related attachments, including but not limited to the rights of reproduction, distribution, information network dissemination, broadcasting, performance, translation, compilation, adaptation, </w:t>
      </w:r>
      <w:r>
        <w:rPr>
          <w:rFonts w:ascii="Times New Roman" w:hAnsi="Times New Roman" w:cs="Times New Roman"/>
          <w:i/>
          <w:iCs/>
        </w:rPr>
        <w:t>etc</w:t>
      </w:r>
      <w:r>
        <w:rPr>
          <w:rFonts w:ascii="Times New Roman" w:hAnsi="Times New Roman" w:cs="Times New Roman"/>
        </w:rPr>
        <w:t>. The Editorial Office has right to make use of the paper in the following ways but not limited to:</w:t>
      </w:r>
    </w:p>
    <w:p w14:paraId="6F7F2367">
      <w:pPr>
        <w:ind w:left="283" w:leftChars="135"/>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rPr>
        <w:t xml:space="preserve">Reproduce, distribute, disseminate information networks, broadcast, or use licensed content in various known or future possible forms, formats, and media, such as CD, disk, networks, </w:t>
      </w:r>
      <w:r>
        <w:rPr>
          <w:rFonts w:ascii="Times New Roman" w:hAnsi="Times New Roman" w:cs="Times New Roman"/>
          <w:i/>
          <w:iCs/>
        </w:rPr>
        <w:t>etc</w:t>
      </w:r>
      <w:r>
        <w:rPr>
          <w:rFonts w:ascii="Times New Roman" w:hAnsi="Times New Roman" w:cs="Times New Roman"/>
        </w:rPr>
        <w:t>.</w:t>
      </w:r>
    </w:p>
    <w:p w14:paraId="7B7E0B6B">
      <w:pPr>
        <w:ind w:left="283" w:leftChars="135"/>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Translate, adapt, compile the paper, and use the figures and tables in the paper, abstracts, or any other part to drive other works.</w:t>
      </w:r>
    </w:p>
    <w:p w14:paraId="2D890261">
      <w:pPr>
        <w:ind w:left="283" w:leftChars="135"/>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Authors agree that after publication, the article might also be disseminated on third-party platforms (including China National Knowledge Infrastructure, Wanfang Database, Weipu Information, and other platforms that have signed cooperation agreements with the Editorial Office).</w:t>
      </w:r>
    </w:p>
    <w:p w14:paraId="7C2D1C79">
      <w:pPr>
        <w:ind w:left="283" w:leftChars="135"/>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The authors agree to implement open access after the publication of the article, using the Creative Commons license, allowing third-party users to use it in a CC BY-NC 4.0 manner.</w:t>
      </w:r>
    </w:p>
    <w:p w14:paraId="69AA5AF8">
      <w:pPr>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License term: The term of copyright protection.</w:t>
      </w:r>
    </w:p>
    <w:p w14:paraId="4770D69A">
      <w:pPr>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Scope of licensed use: Global.</w:t>
      </w:r>
    </w:p>
    <w:p w14:paraId="4EE5AB1C">
      <w:pPr>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 xml:space="preserve">License fee: After the paper is published, the Editorial Office will pay the authors a one-time payment (including license fee). The payment standard is based on the scheme announced in the submission guidelines of </w:t>
      </w:r>
      <w:r>
        <w:rPr>
          <w:rFonts w:ascii="Times New Roman" w:hAnsi="Times New Roman" w:cs="Times New Roman"/>
          <w:i/>
          <w:iCs/>
        </w:rPr>
        <w:t>Progress in Biochemistry and Biophysics</w:t>
      </w:r>
      <w:r>
        <w:rPr>
          <w:rFonts w:ascii="Times New Roman" w:hAnsi="Times New Roman" w:cs="Times New Roman"/>
        </w:rPr>
        <w:t xml:space="preserve"> for papers published in the printed edition in the year of publication.</w:t>
      </w:r>
    </w:p>
    <w:p w14:paraId="5BE230DB">
      <w:pPr>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Authors’ commitments:</w:t>
      </w:r>
    </w:p>
    <w:p w14:paraId="0F7919AD">
      <w:pPr>
        <w:ind w:left="283" w:leftChars="135"/>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rPr>
        <w:t>The paper is an original work without plagiarism, infringement, or leakage of confidential information. The authors will bear all responsibilities for any infringement or leakage issues.</w:t>
      </w:r>
    </w:p>
    <w:p w14:paraId="33DACCB4">
      <w:pPr>
        <w:ind w:left="283" w:leftChars="135"/>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All data in the paper are true and reliable.</w:t>
      </w:r>
    </w:p>
    <w:p w14:paraId="28145FA1">
      <w:pPr>
        <w:ind w:left="283" w:leftChars="135"/>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The paper does not involve academic misconduct such as simultaneous submissions, and the main data, figures and tables have not been published in any other media (including journals, websites, etc.) other than Progress in Biochemistry and Biophysics. If non-primary data, tables or figures in the paper contain previously published content, detailed explanations should be provided (when and where it was published, the current ownership status of intellectual property rights, the necessity of republishing in this paper, and whether permission from the intellectual property owner was obtained):</w:t>
      </w:r>
      <w:r>
        <w:rPr>
          <w:rFonts w:ascii="Times New Roman" w:hAnsi="Times New Roman" w:cs="Times New Roman"/>
          <w:u w:val="single"/>
        </w:rPr>
        <w:t xml:space="preserve">                                   </w:t>
      </w:r>
    </w:p>
    <w:p w14:paraId="6BEBDA79">
      <w:pPr>
        <w:ind w:left="283" w:leftChars="135"/>
        <w:rPr>
          <w:rFonts w:ascii="Times New Roman" w:hAnsi="Times New Roman" w:cs="Times New Roman"/>
          <w:u w:val="single"/>
        </w:rPr>
      </w:pPr>
      <w:r>
        <w:rPr>
          <w:rFonts w:ascii="Times New Roman" w:hAnsi="Times New Roman" w:cs="Times New Roman"/>
          <w:u w:val="single"/>
        </w:rPr>
        <w:t xml:space="preserve">                                                                             </w:t>
      </w:r>
    </w:p>
    <w:p w14:paraId="41F7C596">
      <w:pPr>
        <w:ind w:left="283" w:leftChars="135"/>
        <w:rPr>
          <w:rFonts w:ascii="Times New Roman" w:hAnsi="Times New Roman" w:cs="Times New Roman"/>
          <w:u w:val="single"/>
        </w:rPr>
      </w:pPr>
      <w:r>
        <w:rPr>
          <w:rFonts w:hint="eastAsia" w:ascii="Times New Roman" w:hAnsi="Times New Roman" w:cs="Times New Roman"/>
          <w:u w:val="single"/>
        </w:rPr>
        <w:t xml:space="preserve"> </w:t>
      </w:r>
      <w:r>
        <w:rPr>
          <w:rFonts w:ascii="Times New Roman" w:hAnsi="Times New Roman" w:cs="Times New Roman"/>
          <w:u w:val="single"/>
        </w:rPr>
        <w:t xml:space="preserve">                                                                            </w:t>
      </w:r>
    </w:p>
    <w:p w14:paraId="0002506E">
      <w:pPr>
        <w:ind w:left="283" w:leftChars="135"/>
        <w:rPr>
          <w:rFonts w:ascii="Times New Roman" w:hAnsi="Times New Roman" w:cs="Times New Roman"/>
        </w:rPr>
      </w:pPr>
      <w:r>
        <w:rPr>
          <w:rFonts w:hint="eastAsia" w:ascii="Times New Roman" w:hAnsi="Times New Roman" w:cs="Times New Roman"/>
          <w:u w:val="single"/>
        </w:rPr>
        <w:t xml:space="preserve"> </w:t>
      </w:r>
      <w:r>
        <w:rPr>
          <w:rFonts w:ascii="Times New Roman" w:hAnsi="Times New Roman" w:cs="Times New Roman"/>
          <w:u w:val="single"/>
        </w:rPr>
        <w:t xml:space="preserve">                                                                           </w:t>
      </w:r>
      <w:r>
        <w:rPr>
          <w:rFonts w:hint="eastAsia" w:ascii="Times New Roman" w:hAnsi="Times New Roman" w:cs="Times New Roman"/>
        </w:rPr>
        <w:t>.</w:t>
      </w:r>
    </w:p>
    <w:p w14:paraId="52293FEE">
      <w:pPr>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Author services: To assist authors in research, learning, creation, and publication, the journal and related licensed platforms provide a series of services. The specific services are subject to announcements on third-party platforms.</w:t>
      </w:r>
    </w:p>
    <w:p w14:paraId="13865D90">
      <w:pPr>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If the title is modified during the editing, typesetting, and proofreading process after the paper is accepted, but the main content of the paper remains unchanged, it does not affect the validity of this agreement.</w:t>
      </w:r>
    </w:p>
    <w:p w14:paraId="24C01775">
      <w:pPr>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Any disputes arising from the performance of this agreement should be resolved through negotiation. If no agreement is reached, either party can file a lawsuit to the People’s Court with jurisdiction over the location of the Editorial Office.</w:t>
      </w:r>
    </w:p>
    <w:p w14:paraId="7850BB8B">
      <w:pPr>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This agreement must be handwritten and signed by all authors. It becomes effective from the date of signing. After signing, scan or take a photo of the agreement and upload the electronic version to the submission system. If the submitted paper is not finally accepted, this agreement will automatically become invalid.</w:t>
      </w:r>
    </w:p>
    <w:p w14:paraId="6476C132">
      <w:pPr>
        <w:rPr>
          <w:rFonts w:ascii="Times New Roman" w:hAnsi="Times New Roman" w:cs="Times New Roman"/>
        </w:rPr>
      </w:pPr>
      <w:r>
        <w:rPr>
          <w:rFonts w:ascii="Times New Roman" w:hAnsi="Times New Roman" w:cs="Times New Roman"/>
        </w:rPr>
        <w:t>(End of main text)</w:t>
      </w:r>
    </w:p>
    <w:p w14:paraId="2F0CA1D0">
      <w:pPr>
        <w:rPr>
          <w:rFonts w:ascii="Times New Roman" w:hAnsi="Times New Roman" w:cs="Times New Roman"/>
        </w:rPr>
      </w:pPr>
    </w:p>
    <w:p w14:paraId="1745E501">
      <w:pPr>
        <w:rPr>
          <w:rFonts w:ascii="Arial" w:hAnsi="Arial" w:cs="Arial"/>
          <w:szCs w:val="21"/>
        </w:rPr>
      </w:pPr>
      <w:r>
        <w:rPr>
          <w:rFonts w:ascii="Arial" w:hAnsi="Arial" w:cs="Arial"/>
          <w:szCs w:val="21"/>
        </w:rPr>
        <w:t>Signature of all authors (lines can be added if necessary)</w:t>
      </w: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2267"/>
        <w:gridCol w:w="4109"/>
        <w:gridCol w:w="1418"/>
      </w:tblGrid>
      <w:tr w14:paraId="7E4A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F6F08F7">
            <w:pPr>
              <w:rPr>
                <w:rFonts w:ascii="Arial" w:hAnsi="Arial" w:cs="Arial"/>
                <w:szCs w:val="21"/>
              </w:rPr>
            </w:pPr>
            <w:r>
              <w:rPr>
                <w:rFonts w:ascii="Arial" w:hAnsi="Arial" w:cs="Arial"/>
                <w:szCs w:val="21"/>
              </w:rPr>
              <w:t>No.</w:t>
            </w:r>
          </w:p>
        </w:tc>
        <w:tc>
          <w:tcPr>
            <w:tcW w:w="2268" w:type="dxa"/>
            <w:vAlign w:val="center"/>
          </w:tcPr>
          <w:p w14:paraId="11B7CF03">
            <w:pPr>
              <w:jc w:val="center"/>
              <w:rPr>
                <w:rFonts w:ascii="Arial" w:hAnsi="Arial" w:cs="Arial"/>
                <w:szCs w:val="21"/>
              </w:rPr>
            </w:pPr>
            <w:r>
              <w:rPr>
                <w:rFonts w:ascii="Arial" w:hAnsi="Arial" w:cs="Arial"/>
                <w:szCs w:val="21"/>
              </w:rPr>
              <w:t>Signatures</w:t>
            </w:r>
          </w:p>
        </w:tc>
        <w:tc>
          <w:tcPr>
            <w:tcW w:w="4111" w:type="dxa"/>
            <w:vAlign w:val="center"/>
          </w:tcPr>
          <w:p w14:paraId="538D737D">
            <w:pPr>
              <w:jc w:val="center"/>
              <w:rPr>
                <w:rFonts w:ascii="Arial" w:hAnsi="Arial" w:cs="Arial"/>
                <w:szCs w:val="21"/>
              </w:rPr>
            </w:pPr>
            <w:r>
              <w:rPr>
                <w:rFonts w:ascii="Arial" w:hAnsi="Arial" w:cs="Arial"/>
                <w:szCs w:val="21"/>
              </w:rPr>
              <w:t>Affiliation and ID No.</w:t>
            </w:r>
          </w:p>
        </w:tc>
        <w:tc>
          <w:tcPr>
            <w:tcW w:w="1418" w:type="dxa"/>
            <w:vAlign w:val="center"/>
          </w:tcPr>
          <w:p w14:paraId="74947499">
            <w:pPr>
              <w:jc w:val="center"/>
              <w:rPr>
                <w:rFonts w:ascii="Arial" w:hAnsi="Arial" w:cs="Arial"/>
                <w:szCs w:val="21"/>
              </w:rPr>
            </w:pPr>
            <w:r>
              <w:rPr>
                <w:rFonts w:ascii="Arial" w:hAnsi="Arial" w:cs="Arial"/>
                <w:szCs w:val="21"/>
              </w:rPr>
              <w:t>Date</w:t>
            </w:r>
          </w:p>
        </w:tc>
      </w:tr>
      <w:tr w14:paraId="400F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restart"/>
          </w:tcPr>
          <w:p w14:paraId="7990A9A9">
            <w:pPr>
              <w:rPr>
                <w:szCs w:val="21"/>
              </w:rPr>
            </w:pPr>
            <w:r>
              <w:rPr>
                <w:rFonts w:hint="eastAsia"/>
                <w:szCs w:val="21"/>
              </w:rPr>
              <w:t>1</w:t>
            </w:r>
          </w:p>
        </w:tc>
        <w:tc>
          <w:tcPr>
            <w:tcW w:w="2268" w:type="dxa"/>
            <w:vMerge w:val="restart"/>
          </w:tcPr>
          <w:p w14:paraId="3DC9BAB2">
            <w:pPr>
              <w:rPr>
                <w:szCs w:val="21"/>
              </w:rPr>
            </w:pPr>
          </w:p>
        </w:tc>
        <w:tc>
          <w:tcPr>
            <w:tcW w:w="4111" w:type="dxa"/>
          </w:tcPr>
          <w:p w14:paraId="7F0C13B4">
            <w:pPr>
              <w:rPr>
                <w:rFonts w:ascii="Arial" w:hAnsi="Arial" w:cs="Arial"/>
                <w:szCs w:val="21"/>
              </w:rPr>
            </w:pPr>
            <w:r>
              <w:rPr>
                <w:rFonts w:ascii="Arial" w:hAnsi="Arial" w:cs="Arial"/>
                <w:szCs w:val="21"/>
              </w:rPr>
              <w:t>Affiliation:</w:t>
            </w:r>
          </w:p>
        </w:tc>
        <w:tc>
          <w:tcPr>
            <w:tcW w:w="1418" w:type="dxa"/>
            <w:vMerge w:val="restart"/>
          </w:tcPr>
          <w:p w14:paraId="0D5CE6D1">
            <w:pPr>
              <w:rPr>
                <w:szCs w:val="21"/>
              </w:rPr>
            </w:pPr>
          </w:p>
        </w:tc>
      </w:tr>
      <w:tr w14:paraId="37DF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continue"/>
          </w:tcPr>
          <w:p w14:paraId="2FD330E3">
            <w:pPr>
              <w:rPr>
                <w:szCs w:val="21"/>
              </w:rPr>
            </w:pPr>
          </w:p>
        </w:tc>
        <w:tc>
          <w:tcPr>
            <w:tcW w:w="2268" w:type="dxa"/>
            <w:vMerge w:val="continue"/>
          </w:tcPr>
          <w:p w14:paraId="5407332E">
            <w:pPr>
              <w:rPr>
                <w:szCs w:val="21"/>
              </w:rPr>
            </w:pPr>
          </w:p>
        </w:tc>
        <w:tc>
          <w:tcPr>
            <w:tcW w:w="4111" w:type="dxa"/>
          </w:tcPr>
          <w:p w14:paraId="334346D3">
            <w:pPr>
              <w:rPr>
                <w:rFonts w:ascii="Arial" w:hAnsi="Arial" w:cs="Arial"/>
                <w:szCs w:val="21"/>
              </w:rPr>
            </w:pPr>
            <w:r>
              <w:rPr>
                <w:rFonts w:ascii="Arial" w:hAnsi="Arial" w:cs="Arial"/>
                <w:szCs w:val="21"/>
              </w:rPr>
              <w:t>ID No.</w:t>
            </w:r>
          </w:p>
        </w:tc>
        <w:tc>
          <w:tcPr>
            <w:tcW w:w="1418" w:type="dxa"/>
            <w:vMerge w:val="continue"/>
          </w:tcPr>
          <w:p w14:paraId="3700E1B2">
            <w:pPr>
              <w:rPr>
                <w:szCs w:val="21"/>
              </w:rPr>
            </w:pPr>
          </w:p>
        </w:tc>
      </w:tr>
      <w:tr w14:paraId="2875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restart"/>
          </w:tcPr>
          <w:p w14:paraId="0C1C12CE">
            <w:pPr>
              <w:rPr>
                <w:szCs w:val="21"/>
              </w:rPr>
            </w:pPr>
            <w:r>
              <w:rPr>
                <w:rFonts w:hint="eastAsia"/>
                <w:szCs w:val="21"/>
              </w:rPr>
              <w:t>2</w:t>
            </w:r>
          </w:p>
        </w:tc>
        <w:tc>
          <w:tcPr>
            <w:tcW w:w="2268" w:type="dxa"/>
            <w:vMerge w:val="restart"/>
          </w:tcPr>
          <w:p w14:paraId="2C0A1F16">
            <w:pPr>
              <w:rPr>
                <w:szCs w:val="21"/>
              </w:rPr>
            </w:pPr>
          </w:p>
        </w:tc>
        <w:tc>
          <w:tcPr>
            <w:tcW w:w="4111" w:type="dxa"/>
          </w:tcPr>
          <w:p w14:paraId="1B5755F4">
            <w:pPr>
              <w:rPr>
                <w:rFonts w:ascii="Arial" w:hAnsi="Arial" w:cs="Arial"/>
                <w:szCs w:val="21"/>
              </w:rPr>
            </w:pPr>
            <w:r>
              <w:rPr>
                <w:rFonts w:ascii="Arial" w:hAnsi="Arial" w:cs="Arial"/>
                <w:szCs w:val="21"/>
              </w:rPr>
              <w:t>Affiliation:</w:t>
            </w:r>
          </w:p>
        </w:tc>
        <w:tc>
          <w:tcPr>
            <w:tcW w:w="1418" w:type="dxa"/>
            <w:vMerge w:val="restart"/>
          </w:tcPr>
          <w:p w14:paraId="008925A5">
            <w:pPr>
              <w:rPr>
                <w:szCs w:val="21"/>
              </w:rPr>
            </w:pPr>
          </w:p>
        </w:tc>
      </w:tr>
      <w:tr w14:paraId="26EC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continue"/>
          </w:tcPr>
          <w:p w14:paraId="4D38BCAA">
            <w:pPr>
              <w:rPr>
                <w:szCs w:val="21"/>
              </w:rPr>
            </w:pPr>
          </w:p>
        </w:tc>
        <w:tc>
          <w:tcPr>
            <w:tcW w:w="2268" w:type="dxa"/>
            <w:vMerge w:val="continue"/>
          </w:tcPr>
          <w:p w14:paraId="14AAA21C">
            <w:pPr>
              <w:rPr>
                <w:szCs w:val="21"/>
              </w:rPr>
            </w:pPr>
          </w:p>
        </w:tc>
        <w:tc>
          <w:tcPr>
            <w:tcW w:w="4111" w:type="dxa"/>
          </w:tcPr>
          <w:p w14:paraId="7119CDF5">
            <w:pPr>
              <w:rPr>
                <w:rFonts w:ascii="Arial" w:hAnsi="Arial" w:cs="Arial"/>
                <w:szCs w:val="21"/>
              </w:rPr>
            </w:pPr>
            <w:r>
              <w:rPr>
                <w:rFonts w:ascii="Arial" w:hAnsi="Arial" w:cs="Arial"/>
                <w:szCs w:val="21"/>
              </w:rPr>
              <w:t>ID No.</w:t>
            </w:r>
          </w:p>
        </w:tc>
        <w:tc>
          <w:tcPr>
            <w:tcW w:w="1418" w:type="dxa"/>
            <w:vMerge w:val="continue"/>
          </w:tcPr>
          <w:p w14:paraId="05FF1C47">
            <w:pPr>
              <w:rPr>
                <w:szCs w:val="21"/>
              </w:rPr>
            </w:pPr>
          </w:p>
        </w:tc>
      </w:tr>
      <w:tr w14:paraId="4549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restart"/>
          </w:tcPr>
          <w:p w14:paraId="5D2C6071">
            <w:pPr>
              <w:rPr>
                <w:szCs w:val="21"/>
              </w:rPr>
            </w:pPr>
            <w:r>
              <w:rPr>
                <w:rFonts w:hint="eastAsia"/>
                <w:szCs w:val="21"/>
              </w:rPr>
              <w:t>…</w:t>
            </w:r>
          </w:p>
        </w:tc>
        <w:tc>
          <w:tcPr>
            <w:tcW w:w="2268" w:type="dxa"/>
            <w:vMerge w:val="restart"/>
          </w:tcPr>
          <w:p w14:paraId="0A7CA898">
            <w:pPr>
              <w:rPr>
                <w:szCs w:val="21"/>
              </w:rPr>
            </w:pPr>
          </w:p>
        </w:tc>
        <w:tc>
          <w:tcPr>
            <w:tcW w:w="4111" w:type="dxa"/>
          </w:tcPr>
          <w:p w14:paraId="6B5C8504">
            <w:pPr>
              <w:rPr>
                <w:rFonts w:ascii="Arial" w:hAnsi="Arial" w:cs="Arial"/>
                <w:szCs w:val="21"/>
              </w:rPr>
            </w:pPr>
            <w:r>
              <w:rPr>
                <w:rFonts w:ascii="Arial" w:hAnsi="Arial" w:cs="Arial"/>
                <w:szCs w:val="21"/>
              </w:rPr>
              <w:t>Affiliation:</w:t>
            </w:r>
          </w:p>
        </w:tc>
        <w:tc>
          <w:tcPr>
            <w:tcW w:w="1418" w:type="dxa"/>
            <w:vMerge w:val="restart"/>
          </w:tcPr>
          <w:p w14:paraId="5767D453">
            <w:pPr>
              <w:rPr>
                <w:szCs w:val="21"/>
              </w:rPr>
            </w:pPr>
          </w:p>
        </w:tc>
      </w:tr>
      <w:tr w14:paraId="6F28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continue"/>
          </w:tcPr>
          <w:p w14:paraId="2C0D6F3C">
            <w:pPr>
              <w:rPr>
                <w:szCs w:val="21"/>
              </w:rPr>
            </w:pPr>
          </w:p>
        </w:tc>
        <w:tc>
          <w:tcPr>
            <w:tcW w:w="2268" w:type="dxa"/>
            <w:vMerge w:val="continue"/>
          </w:tcPr>
          <w:p w14:paraId="1A711E5A">
            <w:pPr>
              <w:rPr>
                <w:szCs w:val="21"/>
              </w:rPr>
            </w:pPr>
          </w:p>
        </w:tc>
        <w:tc>
          <w:tcPr>
            <w:tcW w:w="4111" w:type="dxa"/>
          </w:tcPr>
          <w:p w14:paraId="00A6161A">
            <w:pPr>
              <w:rPr>
                <w:rFonts w:ascii="Arial" w:hAnsi="Arial" w:cs="Arial"/>
                <w:szCs w:val="21"/>
              </w:rPr>
            </w:pPr>
            <w:r>
              <w:rPr>
                <w:rFonts w:ascii="Arial" w:hAnsi="Arial" w:cs="Arial"/>
                <w:szCs w:val="21"/>
              </w:rPr>
              <w:t>ID No.</w:t>
            </w:r>
          </w:p>
        </w:tc>
        <w:tc>
          <w:tcPr>
            <w:tcW w:w="1418" w:type="dxa"/>
            <w:vMerge w:val="continue"/>
          </w:tcPr>
          <w:p w14:paraId="7EAA87C8">
            <w:pPr>
              <w:rPr>
                <w:szCs w:val="21"/>
              </w:rPr>
            </w:pPr>
          </w:p>
        </w:tc>
      </w:tr>
    </w:tbl>
    <w:p w14:paraId="6DB5C5CB">
      <w:pPr>
        <w:pStyle w:val="2"/>
        <w:ind w:left="0" w:leftChars="0"/>
        <w:rPr>
          <w:szCs w:val="21"/>
        </w:rPr>
      </w:pPr>
    </w:p>
    <w:p w14:paraId="62D0DB6B">
      <w:pPr>
        <w:rPr>
          <w:rFonts w:ascii="Times New Roman" w:hAnsi="Times New Roman" w:cs="Times New Roman"/>
        </w:rPr>
      </w:pPr>
    </w:p>
    <w:p w14:paraId="6FB6EC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国标仿宋"/>
    <w:panose1 w:val="00000000000000000000"/>
    <w:charset w:val="86"/>
    <w:family w:val="auto"/>
    <w:pitch w:val="default"/>
    <w:sig w:usb0="00000000" w:usb1="00000000" w:usb2="00000000" w:usb3="00000000" w:csb0="00000000" w:csb1="00000000"/>
  </w:font>
  <w:font w:name="等线">
    <w:altName w:val="国标仿宋"/>
    <w:panose1 w:val="00000000000000000000"/>
    <w:charset w:val="00"/>
    <w:family w:val="auto"/>
    <w:pitch w:val="default"/>
    <w:sig w:usb0="00000000" w:usb1="00000000" w:usb2="00000000" w:usb3="00000000" w:csb0="00000000" w:csb1="00000000"/>
  </w:font>
  <w:font w:name="Arial">
    <w:altName w:val="DejaVu Sans"/>
    <w:panose1 w:val="020B0604020202020204"/>
    <w:charset w:val="00"/>
    <w:family w:val="swiss"/>
    <w:pitch w:val="default"/>
    <w:sig w:usb0="00000000" w:usb1="00000000" w:usb2="00000009" w:usb3="00000000" w:csb0="000001FF" w:csb1="00000000"/>
  </w:font>
  <w:font w:name="国标仿宋">
    <w:panose1 w:val="02000500000000000000"/>
    <w:charset w:val="86"/>
    <w:family w:val="auto"/>
    <w:pitch w:val="default"/>
    <w:sig w:usb0="A00002BF" w:usb1="38C77CFA" w:usb2="00000016" w:usb3="00000000" w:csb0="00060007"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C99"/>
    <w:rsid w:val="0002568C"/>
    <w:rsid w:val="00033D96"/>
    <w:rsid w:val="002E6933"/>
    <w:rsid w:val="004169D9"/>
    <w:rsid w:val="0054625D"/>
    <w:rsid w:val="00564A46"/>
    <w:rsid w:val="008005EE"/>
    <w:rsid w:val="009375FA"/>
    <w:rsid w:val="00945F58"/>
    <w:rsid w:val="009462CE"/>
    <w:rsid w:val="00C23138"/>
    <w:rsid w:val="00CF4C99"/>
    <w:rsid w:val="00CF70BF"/>
    <w:rsid w:val="00E12FB4"/>
    <w:rsid w:val="00F75757"/>
    <w:rsid w:val="9FE68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autoRedefine/>
    <w:semiHidden/>
    <w:unhideWhenUsed/>
    <w:qFormat/>
    <w:uiPriority w:val="99"/>
    <w:pPr>
      <w:ind w:left="420" w:leftChars="200"/>
    </w:pPr>
    <w:rPr>
      <w:rFonts w:ascii="Times New Roman" w:hAnsi="Times New Roman" w:eastAsia="宋体" w:cs="Times New Roman"/>
      <w:szCs w:val="20"/>
      <w14:ligatures w14:val="standardContextual"/>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3431DAF5-874E-4FF6-AF6D-82DACB2C7C52}">
  <ds:schemaRefs/>
</ds:datastoreItem>
</file>

<file path=docProps/app.xml><?xml version="1.0" encoding="utf-8"?>
<Properties xmlns="http://schemas.openxmlformats.org/officeDocument/2006/extended-properties" xmlns:vt="http://schemas.openxmlformats.org/officeDocument/2006/docPropsVTypes">
  <Template>Normal</Template>
  <Pages>2</Pages>
  <Words>656</Words>
  <Characters>3740</Characters>
  <Lines>31</Lines>
  <Paragraphs>8</Paragraphs>
  <TotalTime>2</TotalTime>
  <ScaleCrop>false</ScaleCrop>
  <LinksUpToDate>false</LinksUpToDate>
  <CharactersWithSpaces>4388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2025-10-17T10:04:00Z</dcterms:created>
  <dc:creator>whq</dc:creator>
  <cp:lastModifiedBy>editor</cp:lastModifiedBy>
  <dcterms:modified xsi:type="dcterms:W3CDTF">2026-06-15T17:24:19Z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45352ABC841B6071C3C42F6AEFC41EDD_43</vt:lpwstr>
  </property>
</Properties>
</file>